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455</w:t>
      </w:r>
    </w:p>
    <w:p>
      <w:r>
        <w:t>Bundesgericht (BGE), 2006-02-03, DE</w:t>
      </w:r>
    </w:p>
    <w:p>
      <w:r>
        <w:rPr>
          <w:b/>
        </w:rPr>
        <w:t xml:space="preserve">Quelle: </w:t>
      </w:r>
      <w:r>
        <w:t>https://mcp.opencaselaw.ch/entscheid/bge_132 III 455</w:t>
      </w:r>
    </w:p>
    <w:p>
      <w:r>
        <w:t>FR: ATF 132 III 455</w:t>
      </w:r>
    </w:p>
    <w:p>
      <w:r>
        <w:t>IT: DTF 132 III 455</w:t>
      </w:r>
    </w:p>
    <w:p>
      <w:pPr>
        <w:pStyle w:val="Heading2"/>
      </w:pPr>
      <w:r>
        <w:t>Regeste</w:t>
      </w:r>
    </w:p>
    <w:p>
      <w:r>
        <w:t>Regeste Schenkungsvertrag; Sittenwidrigkeit einer Schenkung. Voraussetzungen der Sittenwidrigkeit einer Schenkung zugunsten des Liegenschaftsverwalters des Schenkers (E. 4).</w:t>
      </w:r>
    </w:p>
    <w:p>
      <w:pPr>
        <w:pStyle w:val="Heading2"/>
      </w:pPr>
      <w:r>
        <w:t>Erwägungen</w:t>
      </w:r>
    </w:p>
    <w:p>
      <w:r>
        <w:rPr>
          <w:b/>
        </w:rPr>
        <w:t>E. 4</w:t>
      </w:r>
    </w:p>
    <w:p>
      <w:r>
        <w:t>Der Kläger rügt sodann, die Vorinstanz habe bundesrechtswidrig die Sittenwidrigkeit der Schenkung vom 6. März 2002 verneint.</w:t>
      </w:r>
    </w:p>
    <w:p>
      <w:r>
        <w:rPr>
          <w:b/>
        </w:rPr>
        <w:t>E. 4.1</w:t>
      </w:r>
    </w:p>
    <w:p>
      <w:r>
        <w:t>Sittenwidrig sind Verträge, die gegen die herrschende Moral, d.h. gegen das allgemeine Anstandsgefühl oder die der Gesamtrechtsordnung immanenten ethischen Prinzipien und Wertmassstäbe verstossen ( BGE 129 III 604 E. 5.3; BGE 123 III 101 E. 2 S. 102; BGE 115 II 232 E. 4a, je mit Hinweisen). Als möglichen Verstoss gegen sozialethische Wertungen hat die Vorinstanz mit Hinweis auf eine Lehrmeinung Verträge erachtet, die berufs- und standesrechtlichen Grundsätzen widersprechen, wenn an der korrekten Berufsausübung ein erhebliches öffentliches Interesse besteht, was sich regelmässig daraus ergebe, dass solche Berufe nur aufgrund eines besonderen staatlichen Befähigungsausweises ausgeübt werden können. Die Vorinstanz ist davon ausgegangen, dass eine Vertrauensperson mit der Annahme einer Schenkung regelmässig berufsethischen Maximen zuwiderhandle, welche die gerichtliche Überprüfung der Sittenwidrigkeit veranlassen müsse. Nach der von der Vorinstanz zitierten Lehrmeinung sind bestimmte Berufsträger - namentlich Ärzte, Psychologen, Anwälte, Geistliche, Notare oder Sozialarbeiter, aber auch Haushalthilfen oder Heimleiter, Bankiers, Treuhänder, Finanzberater usw. - in besonders sensiblen Bereichen tätig, da ihnen ihre Tätigkeit unweigerlich tiefe Einblicke in die persönlichen und wirtschaftlichen Belange der betreuten Person verschafft. Daher drängt sich fallweise die Beurteilung auf, ob eine Verfügung zugunsten einer solchen Vertrauensperson auf einem selbstbestimmten Entscheid beruht oder ob der Berufsträger den aus dem Vertrauensverhältnis sich ergebenden Einfluss in unlauterer Weise ausgenützt hat (DANIEL ABT, Probleme um die unentgeltlichen lebzeitigen Zuwendungen an Vertrauenspersonen, AJP 2004 S. 1225 f.). BGE 132 III 455 S. 459 Sittenwidrigkeit kann sich danach einerseits daraus ergeben, dass die freie Willensentscheidung des Verfügenden durch die Vertrauensperson beeinträchtigt worden ist (ABT, a.a.O., S. 1230); oder anderseits daraus, dass die Vertrauensperson gegen besonders wichtige Standesregeln verstossen hat, wozu auch das Verbot der Vertretung widerstreitender Interessen gehört, welche die Unabhängigkeit der Vertrauensperson gewährleisten soll (ABT, a.a.O., S. 1232; zu den entsprechenden Voraussetzungen der Erbunwürdigkeit der Vertrauensperson vgl. auch BGE 132 III 305 E. 4.2 f. S. 311 und E. 6.1 S. 313).</w:t>
      </w:r>
    </w:p>
    <w:p>
      <w:r>
        <w:rPr>
          <w:b/>
        </w:rPr>
        <w:t>E. 4.2</w:t>
      </w:r>
    </w:p>
    <w:p>
      <w:r>
        <w:t>Der Kläger geht mit der Vorinstanz davon aus, dass es stossend wäre und den Schutzbedürfnissen der Bürger widersprechen würde, wenn sich Fachpersonen wie Ärzte, Anwälte, Liegenschafts- oder Steuertreuhänder in Ausnützung ihrer Vertrauensstellung in erheblichem Umfang Schenkungen einräumen lassen könnten. Der Kläger verkennt jedoch die differenzierte Lehrmeinung, auf welche er sich stützt, wenn er (sinngemäss) die Auffassung vertritt, Schenkungen reicher, alleinstehender älterer und kranker Personen müssten bei einem Vertrauensverhältnis irgendwelcher Art vorbehaltlos und allgemein ungültig erklärt werden; denn damit würde im Ergebnis bei gegebener Urteilsfähigkeit dem selbstbestimmten Entscheid einer Person die Rechtswirkung abgesprochen, welche die Rechtsordnung unter diesen Voraussetzungen vorsieht. Als Verstoss gegen die guten Sitten kann entgegen der Ansicht des Klägers nicht jede Zuwendung unter Lebenden qualifiziert werden, wenn sie an eine Person erfolgt, die durch ihre berufliche Tätigkeit im Umfeld der verfügenden Person deren Vertrauen gewonnen hat. Es bedarf vielmehr einer unlauteren Beeinflussung oder eines Verstosses gegen elementare Standesregeln, deren Zweck gerade darin besteht, von vornherein Interessenkonflikte und Zweifel über mögliche unerwünschte Beeinflussungen zu verhindern.</w:t>
      </w:r>
    </w:p>
    <w:p>
      <w:r>
        <w:rPr>
          <w:b/>
        </w:rPr>
        <w:t>E. 4.3</w:t>
      </w:r>
    </w:p>
    <w:p>
      <w:r>
        <w:t>Nach den Feststellungen der Vorinstanz bestand zwischen B. und dem Beklagten keine nähere persönliche bzw. private Beziehung, die über die beruflichen Tätigkeiten hinausgegangen wäre. Die beruflichen Tätigkeiten des Beklagten für B. beschränkten sich nach den verbindlichen Feststellungen im angefochtenen Entscheid darauf, dass der Beklagte die Verwaltung einer andern Liegenschaft im Eigentum von B. besorgte, die Heiz- und Nebenkostenabrechnung der Liegenschaft X. erstellte und die Steuererklärung ausfüllte. Insbesondere war der Beklagte auch nicht an der BGE 132 III 455 S. 460 Ausarbeitung der Auflagen des Schenkungsvertrages (zwischen dem Notar D. und B.) beteiligt. Wenn die Vorinstanz daraus schloss, dass der Beklagte von B. für bestimmte, begrenzte Tätigkeiten beigezogen wurde, ohne dass sich daraus ein persönliches Vertrauensverhältnis ergab, so hat sie jedenfalls keine Bundesrechtsnormen verletzt. Der Schluss im angefochtenen Entscheid, dass der Beklagte nicht Treuhänder von B. war und dass er daher auch nicht die Standesregeln für diesen Beruf verletzte, ist bundesrechtlich nicht zu beanstanden. Die Ansicht des Klägers, wonach sich aus konkret begrenzten Aufträgen ohne weiteres das besondere Vertrauensverhältnis ergibt, aus dem er die Unsittlichkeit der Schenkung an den Beauftragten ableitet, vermag nicht zu überzeugen. Dass sich aus der Übernahme bestimmter Mandate insbesondere im Rahmen der anwaltlichen Tätigkeit ein Interessenkonflikt für die Erledigung andere Mandate ergeben kann, ist als Begründung im vorliegenden Fall unbehelflich.</w:t>
      </w:r>
    </w:p>
    <w:p>
      <w:r>
        <w:rPr>
          <w:b/>
        </w:rPr>
        <w:t>E. 4.4</w:t>
      </w:r>
    </w:p>
    <w:p>
      <w:r>
        <w:t>Der Kläger setzt sich sodann über die verbindlichen Feststellungen der Vorinstanz hinweg, wenn er vorbringt, der Beklagte habe die freie Willensentscheidung von B. in Ausnutzung seiner "Vertrauensstellung" beeinträchtigt. Abgesehen davon, dass er seine Begründung auch hier auf ein angeblich umfassendes Vertrauensverhältnis stützt, geht er im Gegensatz zu den vorinstanzlichen Feststellungen tatsächlich davon aus, dass B. den Wert der Liegenschaft X. nicht gekannt habe und der Beklagte B. mit der Ankündigung von Mietzinserhöhungen in einen Gewissenskonflikt gestürzt habe. Inwiefern der Beklagte aufgrund der verbindlichen Feststellungen der Vorinstanz die Entscheidungsfreiheit von B. hätte unzulässig beeinflussen können, ist der Begründung der Berufung dagegen nicht zu entnehmen. Die Ausführungen des Klägers erschöpfen sich auch in diesem Zusammenhang in einer unzulässigen Kritik an der vorinstanzlichen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